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DE6B8E6" w14:textId="77777777" w:rsidR="00AA2E2C" w:rsidRDefault="00AA2E2C">
      <w:pPr>
        <w:jc w:val="center"/>
      </w:pPr>
      <w:r>
        <w:rPr>
          <w:b/>
          <w:sz w:val="20"/>
          <w:szCs w:val="20"/>
        </w:rPr>
        <w:t>БЮЛЕТЕНЬ</w:t>
      </w:r>
    </w:p>
    <w:p w14:paraId="675005CD" w14:textId="77777777" w:rsidR="00AA2E2C" w:rsidRDefault="00AA2E2C">
      <w:pPr>
        <w:jc w:val="center"/>
      </w:pPr>
      <w:r>
        <w:rPr>
          <w:b/>
          <w:sz w:val="20"/>
          <w:szCs w:val="20"/>
        </w:rPr>
        <w:t>для голосування на річних загальних зборах акціонерів</w:t>
      </w:r>
    </w:p>
    <w:p w14:paraId="03FB76CC" w14:textId="77777777" w:rsidR="00AA2E2C" w:rsidRDefault="00AA2E2C">
      <w:pPr>
        <w:jc w:val="center"/>
      </w:pPr>
      <w:r>
        <w:rPr>
          <w:b/>
          <w:sz w:val="20"/>
          <w:szCs w:val="20"/>
        </w:rPr>
        <w:t>Приватного акціонерного товариства «</w:t>
      </w:r>
      <w:proofErr w:type="spellStart"/>
      <w:r>
        <w:rPr>
          <w:b/>
          <w:sz w:val="20"/>
          <w:szCs w:val="20"/>
        </w:rPr>
        <w:t>Полімпекс</w:t>
      </w:r>
      <w:proofErr w:type="spellEnd"/>
      <w:r>
        <w:rPr>
          <w:b/>
          <w:sz w:val="20"/>
          <w:szCs w:val="20"/>
        </w:rPr>
        <w:t>» (ідентифікаційний код 14367460)</w:t>
      </w:r>
    </w:p>
    <w:p w14:paraId="6109241C" w14:textId="77777777" w:rsidR="00AA2E2C" w:rsidRDefault="00AA2E2C">
      <w:pPr>
        <w:ind w:left="-709"/>
        <w:jc w:val="center"/>
        <w:rPr>
          <w:sz w:val="16"/>
          <w:szCs w:val="16"/>
        </w:rPr>
      </w:pPr>
    </w:p>
    <w:p w14:paraId="36BB2242" w14:textId="77777777" w:rsidR="00AA2E2C" w:rsidRDefault="00AA2E2C">
      <w:pPr>
        <w:jc w:val="center"/>
      </w:pPr>
      <w:r>
        <w:rPr>
          <w:color w:val="000000"/>
          <w:sz w:val="16"/>
          <w:szCs w:val="16"/>
          <w:shd w:val="clear" w:color="auto" w:fill="FFFFFF"/>
        </w:rPr>
        <w:t>(голосування на річних</w:t>
      </w:r>
      <w:r>
        <w:rPr>
          <w:sz w:val="16"/>
          <w:szCs w:val="16"/>
        </w:rPr>
        <w:t xml:space="preserve"> загальних зборах акціонерів</w:t>
      </w:r>
    </w:p>
    <w:p w14:paraId="441E20E2" w14:textId="77777777" w:rsidR="00AA2E2C" w:rsidRDefault="00AA2E2C">
      <w:pPr>
        <w:jc w:val="center"/>
      </w:pPr>
      <w:r>
        <w:rPr>
          <w:sz w:val="16"/>
          <w:szCs w:val="16"/>
        </w:rPr>
        <w:t>Приватного акціонерного товариства «ПОЛІМПЕКС»</w:t>
      </w:r>
    </w:p>
    <w:p w14:paraId="52E04EF3" w14:textId="0EABFAF6" w:rsidR="00AA2E2C" w:rsidRDefault="00AA2E2C">
      <w:pPr>
        <w:widowControl w:val="0"/>
        <w:ind w:left="-709"/>
        <w:jc w:val="center"/>
      </w:pPr>
      <w:r>
        <w:rPr>
          <w:color w:val="000000"/>
          <w:sz w:val="16"/>
          <w:szCs w:val="16"/>
          <w:shd w:val="clear" w:color="auto" w:fill="FFFFFF"/>
        </w:rPr>
        <w:t xml:space="preserve"> починається </w:t>
      </w:r>
      <w:r w:rsidR="0068199B" w:rsidRPr="0068199B">
        <w:rPr>
          <w:color w:val="000000"/>
          <w:sz w:val="16"/>
          <w:szCs w:val="16"/>
          <w:shd w:val="clear" w:color="auto" w:fill="FFFFFF"/>
          <w:lang w:val="ru-RU"/>
        </w:rPr>
        <w:t xml:space="preserve">19 </w:t>
      </w:r>
      <w:r w:rsidR="0068199B">
        <w:rPr>
          <w:color w:val="000000"/>
          <w:sz w:val="16"/>
          <w:szCs w:val="16"/>
          <w:shd w:val="clear" w:color="auto" w:fill="FFFFFF"/>
        </w:rPr>
        <w:t>квітня</w:t>
      </w:r>
      <w:r>
        <w:rPr>
          <w:color w:val="000000"/>
          <w:sz w:val="16"/>
          <w:szCs w:val="16"/>
          <w:shd w:val="clear" w:color="auto" w:fill="FFFFFF"/>
        </w:rPr>
        <w:t xml:space="preserve"> 202</w:t>
      </w:r>
      <w:r w:rsidR="0068199B">
        <w:rPr>
          <w:color w:val="000000"/>
          <w:sz w:val="16"/>
          <w:szCs w:val="16"/>
          <w:shd w:val="clear" w:color="auto" w:fill="FFFFFF"/>
        </w:rPr>
        <w:t>4</w:t>
      </w:r>
      <w:r>
        <w:rPr>
          <w:color w:val="000000"/>
          <w:sz w:val="16"/>
          <w:szCs w:val="16"/>
          <w:shd w:val="clear" w:color="auto" w:fill="FFFFFF"/>
        </w:rPr>
        <w:t xml:space="preserve"> року </w:t>
      </w:r>
      <w:r w:rsidR="00A61FD4">
        <w:rPr>
          <w:color w:val="000000"/>
          <w:sz w:val="16"/>
          <w:szCs w:val="16"/>
          <w:shd w:val="clear" w:color="auto" w:fill="FFFFFF"/>
        </w:rPr>
        <w:t xml:space="preserve">об 11 год. 00 хв. </w:t>
      </w:r>
      <w:r>
        <w:rPr>
          <w:color w:val="000000"/>
          <w:sz w:val="16"/>
          <w:szCs w:val="16"/>
          <w:shd w:val="clear" w:color="auto" w:fill="FFFFFF"/>
        </w:rPr>
        <w:t>та завершується о 18 год</w:t>
      </w:r>
      <w:r w:rsidR="00A61FD4">
        <w:rPr>
          <w:color w:val="000000"/>
          <w:sz w:val="16"/>
          <w:szCs w:val="16"/>
          <w:shd w:val="clear" w:color="auto" w:fill="FFFFFF"/>
        </w:rPr>
        <w:t>.</w:t>
      </w:r>
      <w:r>
        <w:rPr>
          <w:color w:val="000000"/>
          <w:sz w:val="16"/>
          <w:szCs w:val="16"/>
          <w:shd w:val="clear" w:color="auto" w:fill="FFFFFF"/>
        </w:rPr>
        <w:t xml:space="preserve"> 00 хв. </w:t>
      </w:r>
      <w:r w:rsidR="0068199B">
        <w:rPr>
          <w:color w:val="000000"/>
          <w:sz w:val="16"/>
          <w:szCs w:val="16"/>
          <w:shd w:val="clear" w:color="auto" w:fill="FFFFFF"/>
        </w:rPr>
        <w:t>30 квітня 2024</w:t>
      </w:r>
      <w:r>
        <w:rPr>
          <w:color w:val="000000"/>
          <w:sz w:val="16"/>
          <w:szCs w:val="16"/>
          <w:shd w:val="clear" w:color="auto" w:fill="FFFFFF"/>
        </w:rPr>
        <w:t xml:space="preserve"> року)</w:t>
      </w:r>
    </w:p>
    <w:p w14:paraId="024199BF" w14:textId="77777777" w:rsidR="00AA2E2C" w:rsidRDefault="00AA2E2C">
      <w:pPr>
        <w:widowControl w:val="0"/>
        <w:ind w:left="-709"/>
        <w:jc w:val="center"/>
        <w:rPr>
          <w:sz w:val="16"/>
          <w:szCs w:val="16"/>
        </w:rPr>
      </w:pPr>
    </w:p>
    <w:tbl>
      <w:tblPr>
        <w:tblW w:w="992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83"/>
        <w:gridCol w:w="4142"/>
      </w:tblGrid>
      <w:tr w:rsidR="00000000" w14:paraId="0019342E" w14:textId="77777777" w:rsidTr="00A238B4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E338" w14:textId="77777777" w:rsidR="00AA2E2C" w:rsidRDefault="00AA2E2C">
            <w:r>
              <w:rPr>
                <w:color w:val="000000"/>
                <w:sz w:val="16"/>
                <w:szCs w:val="16"/>
              </w:rPr>
              <w:t>Дата проведення річних загальних зборів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: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A2FA" w14:textId="767AD910" w:rsidR="00AA2E2C" w:rsidRDefault="0068199B">
            <w:r>
              <w:rPr>
                <w:color w:val="000000"/>
                <w:sz w:val="16"/>
                <w:szCs w:val="16"/>
                <w:lang w:val="ru-RU"/>
              </w:rPr>
              <w:t xml:space="preserve">30 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квітня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 xml:space="preserve"> 2024</w:t>
            </w:r>
            <w:r w:rsidR="00AA2E2C">
              <w:rPr>
                <w:color w:val="000000"/>
                <w:sz w:val="16"/>
                <w:szCs w:val="16"/>
              </w:rPr>
              <w:t xml:space="preserve"> року</w:t>
            </w:r>
          </w:p>
        </w:tc>
      </w:tr>
      <w:tr w:rsidR="00000000" w14:paraId="14B2C413" w14:textId="77777777" w:rsidTr="00A238B4">
        <w:tc>
          <w:tcPr>
            <w:tcW w:w="5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76CA" w14:textId="77777777" w:rsidR="00AA2E2C" w:rsidRDefault="00AA2E2C">
            <w:r>
              <w:rPr>
                <w:color w:val="000000"/>
                <w:sz w:val="16"/>
                <w:szCs w:val="16"/>
              </w:rPr>
              <w:t xml:space="preserve">Дата заповнення бюлетеня акціонером (представником акціонера):    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186C" w14:textId="61E62C7A" w:rsidR="00AA2E2C" w:rsidRDefault="00AA2E2C">
            <w:pPr>
              <w:pStyle w:val="af0"/>
            </w:pPr>
          </w:p>
        </w:tc>
      </w:tr>
    </w:tbl>
    <w:p w14:paraId="2918C267" w14:textId="77777777" w:rsidR="00AA2E2C" w:rsidRDefault="00AA2E2C">
      <w:pPr>
        <w:widowControl w:val="0"/>
        <w:ind w:left="-709"/>
        <w:jc w:val="center"/>
        <w:rPr>
          <w:sz w:val="16"/>
          <w:szCs w:val="16"/>
        </w:rPr>
      </w:pPr>
    </w:p>
    <w:p w14:paraId="35E6B76B" w14:textId="77777777" w:rsidR="00AA2E2C" w:rsidRDefault="00AA2E2C">
      <w:pPr>
        <w:widowControl w:val="0"/>
        <w:ind w:left="-709"/>
        <w:rPr>
          <w:b/>
          <w:sz w:val="16"/>
          <w:szCs w:val="16"/>
        </w:rPr>
      </w:pPr>
    </w:p>
    <w:tbl>
      <w:tblPr>
        <w:tblW w:w="99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26"/>
        <w:gridCol w:w="4142"/>
      </w:tblGrid>
      <w:tr w:rsidR="00000000" w14:paraId="6EF43AF8" w14:textId="77777777" w:rsidTr="00A238B4">
        <w:trPr>
          <w:trHeight w:val="335"/>
        </w:trPr>
        <w:tc>
          <w:tcPr>
            <w:tcW w:w="9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176114" w14:textId="77777777" w:rsidR="00AA2E2C" w:rsidRDefault="00AA2E2C">
            <w:r>
              <w:rPr>
                <w:b/>
                <w:bCs/>
                <w:color w:val="000000"/>
                <w:sz w:val="16"/>
                <w:szCs w:val="16"/>
              </w:rPr>
              <w:t>Реквізити акціонера:</w:t>
            </w:r>
          </w:p>
        </w:tc>
      </w:tr>
      <w:tr w:rsidR="00000000" w14:paraId="736B2FA6" w14:textId="77777777" w:rsidTr="00A238B4">
        <w:trPr>
          <w:trHeight w:val="288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1BEE" w14:textId="77777777" w:rsidR="00AA2E2C" w:rsidRDefault="00AA2E2C">
            <w:r>
              <w:rPr>
                <w:bCs/>
                <w:color w:val="000000"/>
                <w:sz w:val="16"/>
                <w:szCs w:val="16"/>
              </w:rPr>
              <w:t>Прізвище, ім’я та по батькові/Найменування акціонера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393A" w14:textId="5645334A" w:rsidR="00AA2E2C" w:rsidRDefault="00AA2E2C">
            <w:pPr>
              <w:jc w:val="both"/>
            </w:pPr>
          </w:p>
        </w:tc>
      </w:tr>
      <w:tr w:rsidR="00000000" w14:paraId="2E916719" w14:textId="77777777" w:rsidTr="00A238B4">
        <w:trPr>
          <w:trHeight w:val="450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FDB61" w14:textId="77777777" w:rsidR="00AA2E2C" w:rsidRDefault="00AA2E2C">
            <w:r>
              <w:rPr>
                <w:sz w:val="16"/>
                <w:szCs w:val="16"/>
              </w:rPr>
              <w:t xml:space="preserve">Назва, серія (за наявності), номер, дата видачі документа, що посвідчує особу акціонера </w:t>
            </w:r>
            <w:r>
              <w:rPr>
                <w:i/>
                <w:sz w:val="16"/>
                <w:szCs w:val="16"/>
              </w:rPr>
              <w:t>(для фізичної особи)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FD9D" w14:textId="37CD7819" w:rsidR="00AA2E2C" w:rsidRDefault="00AA2E2C">
            <w:pPr>
              <w:snapToGrid w:val="0"/>
              <w:jc w:val="both"/>
            </w:pPr>
          </w:p>
        </w:tc>
      </w:tr>
      <w:tr w:rsidR="00000000" w14:paraId="2705FB5C" w14:textId="77777777" w:rsidTr="00A238B4">
        <w:trPr>
          <w:trHeight w:val="1592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CF59D" w14:textId="77777777" w:rsidR="00AA2E2C" w:rsidRDefault="00AA2E2C">
            <w:r>
              <w:rPr>
                <w:sz w:val="16"/>
                <w:szCs w:val="16"/>
              </w:rPr>
              <w:t xml:space="preserve">Реєстраційний номер облікової картки платника податків </w:t>
            </w:r>
            <w:r>
              <w:rPr>
                <w:i/>
                <w:sz w:val="16"/>
                <w:szCs w:val="16"/>
              </w:rPr>
              <w:t>(для акціонера –  фізичної особи (за наявності))</w:t>
            </w:r>
          </w:p>
          <w:p w14:paraId="26D73F1C" w14:textId="77777777" w:rsidR="00AA2E2C" w:rsidRDefault="00AA2E2C">
            <w:r>
              <w:rPr>
                <w:sz w:val="16"/>
                <w:szCs w:val="16"/>
              </w:rPr>
              <w:t>або</w:t>
            </w:r>
          </w:p>
          <w:p w14:paraId="2A9CDC0E" w14:textId="77777777" w:rsidR="00AA2E2C" w:rsidRDefault="00AA2E2C">
            <w:r>
              <w:rPr>
                <w:sz w:val="16"/>
                <w:szCs w:val="16"/>
              </w:rPr>
              <w:t xml:space="preserve">ідентифікаційний код юридичної особи (Код за ЄДРПОУ) – акціонера  </w:t>
            </w:r>
            <w:r>
              <w:rPr>
                <w:i/>
                <w:sz w:val="16"/>
                <w:szCs w:val="16"/>
              </w:rPr>
              <w:t>(для юридичних осіб зареєстрованих в Україні)</w:t>
            </w:r>
            <w:r>
              <w:rPr>
                <w:sz w:val="16"/>
                <w:szCs w:val="16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>
              <w:rPr>
                <w:i/>
                <w:sz w:val="16"/>
                <w:szCs w:val="16"/>
              </w:rPr>
              <w:t>(для юридичних осіб зареєстрованих поза територією України)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C6E5" w14:textId="6085253B" w:rsidR="00AA2E2C" w:rsidRDefault="00AA2E2C">
            <w:pPr>
              <w:jc w:val="both"/>
            </w:pPr>
          </w:p>
        </w:tc>
      </w:tr>
    </w:tbl>
    <w:p w14:paraId="2B88CCCB" w14:textId="77777777" w:rsidR="00AA2E2C" w:rsidRDefault="00AA2E2C">
      <w:pPr>
        <w:widowControl w:val="0"/>
        <w:ind w:left="-709"/>
        <w:jc w:val="center"/>
        <w:rPr>
          <w:b/>
          <w:sz w:val="16"/>
          <w:szCs w:val="16"/>
        </w:rPr>
      </w:pPr>
    </w:p>
    <w:p w14:paraId="3A254F74" w14:textId="77777777" w:rsidR="00AA2E2C" w:rsidRDefault="00AA2E2C">
      <w:pPr>
        <w:widowControl w:val="0"/>
        <w:ind w:left="-709"/>
        <w:jc w:val="center"/>
        <w:rPr>
          <w:b/>
          <w:sz w:val="16"/>
          <w:szCs w:val="16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5723"/>
        <w:gridCol w:w="4142"/>
      </w:tblGrid>
      <w:tr w:rsidR="00000000" w14:paraId="1493D01C" w14:textId="77777777">
        <w:trPr>
          <w:trHeight w:val="392"/>
        </w:trPr>
        <w:tc>
          <w:tcPr>
            <w:tcW w:w="9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5E876" w14:textId="77777777" w:rsidR="00AA2E2C" w:rsidRDefault="00AA2E2C">
            <w:r>
              <w:rPr>
                <w:b/>
                <w:sz w:val="16"/>
                <w:szCs w:val="16"/>
              </w:rPr>
              <w:t xml:space="preserve">Реквізити представника акціонера (за наявності):  </w:t>
            </w:r>
          </w:p>
        </w:tc>
      </w:tr>
      <w:tr w:rsidR="00000000" w14:paraId="1A13CA85" w14:textId="77777777">
        <w:trPr>
          <w:trHeight w:val="774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38277" w14:textId="77777777" w:rsidR="00AA2E2C" w:rsidRDefault="00AA2E2C">
            <w:r>
              <w:rPr>
                <w:bCs/>
                <w:color w:val="000000"/>
                <w:sz w:val="16"/>
                <w:szCs w:val="16"/>
              </w:rPr>
              <w:t>Прізвище, ім’я та по батькові / Найменування</w:t>
            </w:r>
            <w:r>
              <w:rPr>
                <w:sz w:val="16"/>
                <w:szCs w:val="16"/>
              </w:rPr>
              <w:t xml:space="preserve"> представника акціонера</w:t>
            </w:r>
          </w:p>
          <w:p w14:paraId="6CD0BCDC" w14:textId="77777777" w:rsidR="00AA2E2C" w:rsidRDefault="00AA2E2C">
            <w:r>
              <w:rPr>
                <w:i/>
                <w:sz w:val="16"/>
                <w:szCs w:val="16"/>
              </w:rPr>
              <w:t>(а також ім’я фізичної особи – представника юридичної особи – представника акціонера (за наявності)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3584" w14:textId="77777777" w:rsidR="00AA2E2C" w:rsidRDefault="00AA2E2C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000000" w14:paraId="267ABFDF" w14:textId="77777777">
        <w:trPr>
          <w:trHeight w:val="566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0153" w14:textId="77777777" w:rsidR="00AA2E2C" w:rsidRDefault="00AA2E2C">
            <w:pPr>
              <w:jc w:val="both"/>
            </w:pPr>
            <w:r>
              <w:rPr>
                <w:sz w:val="16"/>
                <w:szCs w:val="16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>
              <w:rPr>
                <w:i/>
                <w:sz w:val="16"/>
                <w:szCs w:val="16"/>
              </w:rPr>
              <w:t>(для фізичної особи)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78B0" w14:textId="77777777" w:rsidR="00AA2E2C" w:rsidRDefault="00AA2E2C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00000" w14:paraId="093791FA" w14:textId="77777777">
        <w:trPr>
          <w:trHeight w:val="692"/>
        </w:trPr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8FE0" w14:textId="77777777" w:rsidR="00AA2E2C" w:rsidRDefault="00AA2E2C">
            <w:r>
              <w:rPr>
                <w:sz w:val="16"/>
                <w:szCs w:val="16"/>
              </w:rPr>
              <w:t xml:space="preserve">Реєстраційний номер облікової картки платника податків </w:t>
            </w:r>
            <w:r>
              <w:rPr>
                <w:i/>
                <w:sz w:val="16"/>
                <w:szCs w:val="16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2BDF5141" w14:textId="77777777" w:rsidR="00AA2E2C" w:rsidRDefault="00AA2E2C">
            <w:r>
              <w:rPr>
                <w:sz w:val="16"/>
                <w:szCs w:val="16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>
              <w:rPr>
                <w:i/>
                <w:sz w:val="16"/>
                <w:szCs w:val="16"/>
              </w:rPr>
              <w:t>(для юридичних осіб зареєстрованих в Україні)</w:t>
            </w:r>
            <w:r>
              <w:rPr>
                <w:sz w:val="16"/>
                <w:szCs w:val="16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>
              <w:rPr>
                <w:i/>
                <w:sz w:val="16"/>
                <w:szCs w:val="16"/>
              </w:rPr>
              <w:t>(для юридичних осіб зареєстрованих поза територією України)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EC07" w14:textId="77777777" w:rsidR="00AA2E2C" w:rsidRDefault="00AA2E2C">
            <w:pPr>
              <w:snapToGrid w:val="0"/>
              <w:jc w:val="both"/>
              <w:rPr>
                <w:bCs/>
                <w:sz w:val="16"/>
                <w:szCs w:val="16"/>
                <w:shd w:val="clear" w:color="auto" w:fill="FFFF00"/>
              </w:rPr>
            </w:pPr>
          </w:p>
        </w:tc>
      </w:tr>
      <w:tr w:rsidR="00000000" w14:paraId="179D5B1C" w14:textId="77777777">
        <w:trPr>
          <w:trHeight w:val="387"/>
        </w:trPr>
        <w:tc>
          <w:tcPr>
            <w:tcW w:w="5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D799" w14:textId="77777777" w:rsidR="00AA2E2C" w:rsidRDefault="00AA2E2C">
            <w:pPr>
              <w:jc w:val="both"/>
            </w:pPr>
            <w:r>
              <w:rPr>
                <w:sz w:val="16"/>
                <w:szCs w:val="16"/>
              </w:rPr>
              <w:lastRenderedPageBreak/>
              <w:t xml:space="preserve">Документ на підставі якого діє представник акціонера </w:t>
            </w:r>
            <w:r>
              <w:rPr>
                <w:i/>
                <w:sz w:val="16"/>
                <w:szCs w:val="16"/>
              </w:rPr>
              <w:t>(дата видачі, строк дії та номер)</w:t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CFC3" w14:textId="77777777" w:rsidR="00AA2E2C" w:rsidRDefault="00AA2E2C">
            <w:pPr>
              <w:snapToGrid w:val="0"/>
              <w:jc w:val="both"/>
              <w:rPr>
                <w:bCs/>
                <w:sz w:val="16"/>
                <w:szCs w:val="16"/>
                <w:shd w:val="clear" w:color="auto" w:fill="FFFF00"/>
              </w:rPr>
            </w:pPr>
          </w:p>
        </w:tc>
      </w:tr>
    </w:tbl>
    <w:p w14:paraId="0ABD10E6" w14:textId="77777777" w:rsidR="00AA2E2C" w:rsidRDefault="00AA2E2C">
      <w:pPr>
        <w:ind w:left="-709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312"/>
        <w:gridCol w:w="319"/>
        <w:gridCol w:w="314"/>
        <w:gridCol w:w="314"/>
        <w:gridCol w:w="314"/>
        <w:gridCol w:w="313"/>
        <w:gridCol w:w="314"/>
        <w:gridCol w:w="314"/>
        <w:gridCol w:w="314"/>
        <w:gridCol w:w="7039"/>
      </w:tblGrid>
      <w:tr w:rsidR="00000000" w14:paraId="705B21FD" w14:textId="77777777">
        <w:trPr>
          <w:trHeight w:val="551"/>
        </w:trPr>
        <w:tc>
          <w:tcPr>
            <w:tcW w:w="9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3E0539" w14:textId="77777777" w:rsidR="00AA2E2C" w:rsidRDefault="00AA2E2C">
            <w:r>
              <w:rPr>
                <w:b/>
                <w:bCs/>
                <w:color w:val="000000"/>
                <w:sz w:val="16"/>
                <w:szCs w:val="16"/>
              </w:rPr>
              <w:t>Кількість голосів, що належать акціонеру:</w:t>
            </w:r>
          </w:p>
        </w:tc>
      </w:tr>
      <w:tr w:rsidR="00000000" w14:paraId="6D376DC9" w14:textId="77777777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3CF48" w14:textId="4DD7C766" w:rsidR="00AA2E2C" w:rsidRDefault="00AA2E2C">
            <w:pPr>
              <w:snapToGrid w:val="0"/>
              <w:jc w:val="both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3FE69" w14:textId="04F533FB" w:rsidR="00AA2E2C" w:rsidRDefault="00AA2E2C">
            <w:pPr>
              <w:snapToGrid w:val="0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3C25C" w14:textId="2D3FD5AE" w:rsidR="00AA2E2C" w:rsidRDefault="00AA2E2C">
            <w:pPr>
              <w:snapToGrid w:val="0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41073" w14:textId="2702B0A8" w:rsidR="00AA2E2C" w:rsidRDefault="00AA2E2C">
            <w:pPr>
              <w:snapToGrid w:val="0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DB20" w14:textId="5CB1AB3A" w:rsidR="00AA2E2C" w:rsidRDefault="00AA2E2C">
            <w:pPr>
              <w:snapToGrid w:val="0"/>
              <w:jc w:val="both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E422D" w14:textId="6EF23394" w:rsidR="00AA2E2C" w:rsidRDefault="00AA2E2C">
            <w:pPr>
              <w:snapToGrid w:val="0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9363" w14:textId="77777777" w:rsidR="00AA2E2C" w:rsidRDefault="00AA2E2C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0B0B" w14:textId="77777777" w:rsidR="00AA2E2C" w:rsidRDefault="00AA2E2C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62CF" w14:textId="77777777" w:rsidR="00AA2E2C" w:rsidRDefault="00AA2E2C">
            <w:pPr>
              <w:snapToGrid w:val="0"/>
              <w:jc w:val="both"/>
              <w:rPr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B99C8" w14:textId="6A097C21" w:rsidR="00AA2E2C" w:rsidRDefault="00AA2E2C">
            <w:pPr>
              <w:snapToGrid w:val="0"/>
              <w:jc w:val="center"/>
            </w:pPr>
          </w:p>
        </w:tc>
      </w:tr>
      <w:tr w:rsidR="00000000" w14:paraId="17DA89DC" w14:textId="77777777">
        <w:trPr>
          <w:trHeight w:val="115"/>
        </w:trPr>
        <w:tc>
          <w:tcPr>
            <w:tcW w:w="28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B9F3" w14:textId="77777777" w:rsidR="00AA2E2C" w:rsidRDefault="00AA2E2C">
            <w:pPr>
              <w:jc w:val="center"/>
            </w:pPr>
            <w:r>
              <w:rPr>
                <w:bCs/>
                <w:i/>
                <w:color w:val="000000"/>
                <w:sz w:val="16"/>
                <w:szCs w:val="16"/>
              </w:rPr>
              <w:t>(кількість голосів числом)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518D" w14:textId="77777777" w:rsidR="00AA2E2C" w:rsidRDefault="00AA2E2C">
            <w:pPr>
              <w:snapToGrid w:val="0"/>
              <w:jc w:val="center"/>
            </w:pPr>
            <w:r>
              <w:rPr>
                <w:bCs/>
                <w:i/>
                <w:color w:val="000000"/>
                <w:sz w:val="16"/>
                <w:szCs w:val="16"/>
              </w:rPr>
              <w:t>(кількість голосів прописом)</w:t>
            </w:r>
          </w:p>
        </w:tc>
      </w:tr>
    </w:tbl>
    <w:p w14:paraId="35E77C2A" w14:textId="77777777" w:rsidR="00AA2E2C" w:rsidRDefault="00AA2E2C">
      <w:pPr>
        <w:ind w:left="-709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9865"/>
      </w:tblGrid>
      <w:tr w:rsidR="00000000" w14:paraId="01D00BCC" w14:textId="77777777">
        <w:trPr>
          <w:trHeight w:val="392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93166D" w14:textId="77777777" w:rsidR="00AA2E2C" w:rsidRDefault="00AA2E2C">
            <w:r>
              <w:rPr>
                <w:b/>
                <w:bCs/>
                <w:iCs/>
                <w:color w:val="000000"/>
                <w:sz w:val="16"/>
                <w:szCs w:val="16"/>
              </w:rPr>
              <w:t>Голосування з питань порядку денного:</w:t>
            </w:r>
          </w:p>
        </w:tc>
      </w:tr>
    </w:tbl>
    <w:p w14:paraId="25614D6E" w14:textId="77777777" w:rsidR="00AA2E2C" w:rsidRDefault="00AA2E2C">
      <w:pPr>
        <w:ind w:left="-709"/>
        <w:rPr>
          <w:sz w:val="16"/>
          <w:szCs w:val="16"/>
        </w:rPr>
      </w:pPr>
    </w:p>
    <w:p w14:paraId="20E430E8" w14:textId="77777777" w:rsidR="00AA2E2C" w:rsidRDefault="00AA2E2C">
      <w:pPr>
        <w:ind w:left="-709"/>
        <w:rPr>
          <w:sz w:val="16"/>
          <w:szCs w:val="16"/>
        </w:rPr>
      </w:pPr>
    </w:p>
    <w:tbl>
      <w:tblPr>
        <w:tblW w:w="9947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0"/>
        <w:gridCol w:w="2835"/>
        <w:gridCol w:w="5103"/>
        <w:gridCol w:w="826"/>
        <w:gridCol w:w="733"/>
      </w:tblGrid>
      <w:tr w:rsidR="00000000" w:rsidRPr="001F79F7" w14:paraId="6E6480F3" w14:textId="77777777" w:rsidTr="0029590D">
        <w:trPr>
          <w:trHeight w:val="186"/>
        </w:trPr>
        <w:tc>
          <w:tcPr>
            <w:tcW w:w="32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350ABF" w14:textId="77777777" w:rsidR="00AA2E2C" w:rsidRPr="001F79F7" w:rsidRDefault="00AA2E2C" w:rsidP="001F79F7">
            <w:pPr>
              <w:ind w:left="28" w:right="28"/>
              <w:rPr>
                <w:sz w:val="16"/>
                <w:szCs w:val="16"/>
              </w:rPr>
            </w:pPr>
            <w:r w:rsidRPr="001F79F7">
              <w:rPr>
                <w:b/>
                <w:sz w:val="16"/>
                <w:szCs w:val="16"/>
              </w:rPr>
              <w:t>Питання, винесені на голосування</w:t>
            </w:r>
          </w:p>
        </w:tc>
        <w:tc>
          <w:tcPr>
            <w:tcW w:w="5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EA32C1" w14:textId="77777777" w:rsidR="00AA2E2C" w:rsidRPr="001F79F7" w:rsidRDefault="00AA2E2C" w:rsidP="001F79F7">
            <w:pPr>
              <w:ind w:left="28" w:right="28"/>
              <w:rPr>
                <w:sz w:val="16"/>
                <w:szCs w:val="16"/>
              </w:rPr>
            </w:pPr>
            <w:r w:rsidRPr="001F79F7">
              <w:rPr>
                <w:b/>
                <w:sz w:val="16"/>
                <w:szCs w:val="16"/>
              </w:rPr>
              <w:t>Проекти рішень з винесених на голосування питань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A9E936" w14:textId="77777777" w:rsidR="00AA2E2C" w:rsidRPr="001F79F7" w:rsidRDefault="00AA2E2C" w:rsidP="001F79F7">
            <w:pPr>
              <w:ind w:left="28" w:right="28"/>
              <w:jc w:val="center"/>
              <w:rPr>
                <w:sz w:val="16"/>
                <w:szCs w:val="16"/>
              </w:rPr>
            </w:pPr>
            <w:r w:rsidRPr="001F79F7">
              <w:rPr>
                <w:b/>
                <w:sz w:val="16"/>
                <w:szCs w:val="16"/>
              </w:rPr>
              <w:t>Варіанти голосування</w:t>
            </w:r>
            <w:r w:rsidRPr="001F79F7"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68199B" w:rsidRPr="001F79F7" w14:paraId="1BCCC38A" w14:textId="77777777" w:rsidTr="0029590D">
        <w:trPr>
          <w:trHeight w:val="186"/>
        </w:trPr>
        <w:tc>
          <w:tcPr>
            <w:tcW w:w="328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B3DD4C" w14:textId="77777777" w:rsidR="0068199B" w:rsidRPr="001F79F7" w:rsidRDefault="0068199B" w:rsidP="001F79F7">
            <w:pPr>
              <w:snapToGrid w:val="0"/>
              <w:ind w:left="28" w:right="28"/>
              <w:rPr>
                <w:b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3D64BB" w14:textId="77777777" w:rsidR="0068199B" w:rsidRPr="001F79F7" w:rsidRDefault="0068199B" w:rsidP="001F79F7">
            <w:pPr>
              <w:snapToGrid w:val="0"/>
              <w:ind w:left="28" w:right="28"/>
              <w:rPr>
                <w:b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4E35A5" w14:textId="77777777" w:rsidR="0068199B" w:rsidRPr="001F79F7" w:rsidRDefault="0068199B" w:rsidP="001F79F7">
            <w:pPr>
              <w:ind w:left="28" w:right="28"/>
              <w:jc w:val="center"/>
              <w:rPr>
                <w:sz w:val="16"/>
                <w:szCs w:val="16"/>
              </w:rPr>
            </w:pPr>
            <w:r w:rsidRPr="001F79F7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0EB89A" w14:textId="1E0177BF" w:rsidR="0068199B" w:rsidRPr="001F79F7" w:rsidRDefault="0068199B" w:rsidP="001F79F7">
            <w:pPr>
              <w:ind w:left="28" w:right="28"/>
              <w:rPr>
                <w:sz w:val="16"/>
                <w:szCs w:val="16"/>
              </w:rPr>
            </w:pPr>
            <w:r w:rsidRPr="001F79F7">
              <w:rPr>
                <w:b/>
                <w:sz w:val="16"/>
                <w:szCs w:val="16"/>
              </w:rPr>
              <w:t xml:space="preserve">проти </w:t>
            </w:r>
          </w:p>
        </w:tc>
      </w:tr>
      <w:tr w:rsidR="0068199B" w:rsidRPr="001F79F7" w14:paraId="2871B373" w14:textId="77777777" w:rsidTr="0029590D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9764593" w14:textId="77777777" w:rsidR="0068199B" w:rsidRPr="001F79F7" w:rsidRDefault="0068199B" w:rsidP="001F79F7">
            <w:pPr>
              <w:ind w:left="28" w:right="28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D88D05D" w14:textId="77777777" w:rsidR="00A770BB" w:rsidRDefault="0068199B" w:rsidP="00A770BB">
            <w:pPr>
              <w:pStyle w:val="ae"/>
              <w:spacing w:before="0" w:line="240" w:lineRule="auto"/>
              <w:ind w:left="312" w:right="2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79F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Обрання лічильної комісії, голови та </w:t>
            </w:r>
          </w:p>
          <w:p w14:paraId="34098EE6" w14:textId="77777777" w:rsidR="00A770BB" w:rsidRDefault="0068199B" w:rsidP="00A770BB">
            <w:pPr>
              <w:pStyle w:val="ae"/>
              <w:spacing w:before="0" w:line="240" w:lineRule="auto"/>
              <w:ind w:left="312" w:right="2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79F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секретаря загальних зборів, </w:t>
            </w:r>
          </w:p>
          <w:p w14:paraId="5B640DFA" w14:textId="77777777" w:rsidR="00A770BB" w:rsidRDefault="0068199B" w:rsidP="00A770BB">
            <w:pPr>
              <w:pStyle w:val="ae"/>
              <w:spacing w:before="0" w:line="240" w:lineRule="auto"/>
              <w:ind w:left="312" w:right="2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79F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затвердження порядку денного </w:t>
            </w:r>
          </w:p>
          <w:p w14:paraId="7C8CA2C6" w14:textId="6DBBDEED" w:rsidR="0068199B" w:rsidRPr="001F79F7" w:rsidRDefault="0068199B" w:rsidP="00A770BB">
            <w:pPr>
              <w:pStyle w:val="ae"/>
              <w:spacing w:before="0" w:line="240" w:lineRule="auto"/>
              <w:ind w:left="312" w:right="28"/>
              <w:rPr>
                <w:rFonts w:ascii="Times New Roman" w:hAnsi="Times New Roman"/>
                <w:sz w:val="16"/>
                <w:szCs w:val="16"/>
              </w:rPr>
            </w:pPr>
            <w:r w:rsidRPr="001F79F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загальних зборів.</w:t>
            </w:r>
          </w:p>
          <w:p w14:paraId="6957D3F8" w14:textId="3D1A1B3F" w:rsidR="0068199B" w:rsidRPr="001F79F7" w:rsidRDefault="0068199B" w:rsidP="001F79F7">
            <w:pPr>
              <w:tabs>
                <w:tab w:val="left" w:pos="8647"/>
              </w:tabs>
              <w:ind w:left="28" w:right="28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F54978" w14:textId="77777777" w:rsidR="0068199B" w:rsidRPr="001F79F7" w:rsidRDefault="0068199B" w:rsidP="001F79F7">
            <w:pPr>
              <w:ind w:left="28" w:right="28"/>
              <w:jc w:val="both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</w:rPr>
              <w:t xml:space="preserve">1.1 Обрати лічильну комісію у складі : голова лічильної комісії — </w:t>
            </w:r>
            <w:proofErr w:type="spellStart"/>
            <w:r w:rsidRPr="001F79F7">
              <w:rPr>
                <w:sz w:val="16"/>
                <w:szCs w:val="16"/>
              </w:rPr>
              <w:t>Пурік</w:t>
            </w:r>
            <w:proofErr w:type="spellEnd"/>
            <w:r w:rsidRPr="001F79F7">
              <w:rPr>
                <w:sz w:val="16"/>
                <w:szCs w:val="16"/>
              </w:rPr>
              <w:t xml:space="preserve"> Віталій Вікторович, член лічильної комісії — </w:t>
            </w:r>
            <w:bookmarkStart w:id="0" w:name="__DdeLink__4274_2638962014"/>
            <w:proofErr w:type="spellStart"/>
            <w:r w:rsidRPr="001F79F7">
              <w:rPr>
                <w:sz w:val="16"/>
                <w:szCs w:val="16"/>
              </w:rPr>
              <w:t>Бобрищева</w:t>
            </w:r>
            <w:proofErr w:type="spellEnd"/>
            <w:r w:rsidRPr="001F79F7">
              <w:rPr>
                <w:sz w:val="16"/>
                <w:szCs w:val="16"/>
              </w:rPr>
              <w:t xml:space="preserve"> Аліна Олександрівна</w:t>
            </w:r>
            <w:bookmarkEnd w:id="0"/>
            <w:r w:rsidRPr="001F79F7">
              <w:rPr>
                <w:sz w:val="16"/>
                <w:szCs w:val="16"/>
              </w:rPr>
              <w:t>.</w:t>
            </w:r>
          </w:p>
          <w:p w14:paraId="06105DCF" w14:textId="77777777" w:rsidR="0068199B" w:rsidRPr="001F79F7" w:rsidRDefault="0068199B" w:rsidP="001F79F7">
            <w:pPr>
              <w:ind w:left="28" w:right="28"/>
              <w:jc w:val="both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</w:rPr>
              <w:t xml:space="preserve">1.2 Обрати головою загальних зборів Головка Володимира Анатолійовича, секретарем зборів </w:t>
            </w:r>
            <w:proofErr w:type="spellStart"/>
            <w:r w:rsidRPr="001F79F7">
              <w:rPr>
                <w:sz w:val="16"/>
                <w:szCs w:val="16"/>
              </w:rPr>
              <w:t>Пуріка</w:t>
            </w:r>
            <w:proofErr w:type="spellEnd"/>
            <w:r w:rsidRPr="001F79F7">
              <w:rPr>
                <w:sz w:val="16"/>
                <w:szCs w:val="16"/>
              </w:rPr>
              <w:t xml:space="preserve"> Віталія Вікторовича.</w:t>
            </w:r>
          </w:p>
          <w:p w14:paraId="76D0D4E4" w14:textId="3CEB802D" w:rsidR="0068199B" w:rsidRPr="001F79F7" w:rsidRDefault="0068199B" w:rsidP="001F79F7">
            <w:pPr>
              <w:ind w:left="28" w:right="28"/>
              <w:jc w:val="both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</w:rPr>
              <w:t>1.3 Затвердити порядок денний (перелік питань, що виносяться на голосування).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84243E" w14:textId="4BDF68FE" w:rsidR="0068199B" w:rsidRPr="001F79F7" w:rsidRDefault="0068199B" w:rsidP="001F79F7">
            <w:pPr>
              <w:snapToGrid w:val="0"/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B5B1C5" w14:textId="77777777" w:rsidR="0068199B" w:rsidRPr="001F79F7" w:rsidRDefault="0068199B" w:rsidP="001F79F7">
            <w:pPr>
              <w:snapToGrid w:val="0"/>
              <w:ind w:left="28" w:right="28"/>
              <w:jc w:val="both"/>
              <w:rPr>
                <w:sz w:val="16"/>
                <w:szCs w:val="16"/>
              </w:rPr>
            </w:pPr>
          </w:p>
        </w:tc>
      </w:tr>
      <w:tr w:rsidR="0068199B" w:rsidRPr="001F79F7" w14:paraId="1860348C" w14:textId="77777777" w:rsidTr="0029590D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FE175F" w14:textId="77777777" w:rsidR="0068199B" w:rsidRPr="001F79F7" w:rsidRDefault="0068199B" w:rsidP="001F79F7">
            <w:pPr>
              <w:ind w:left="28" w:right="28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D37420" w14:textId="2CC30BC3" w:rsidR="0068199B" w:rsidRPr="001F79F7" w:rsidRDefault="0068199B" w:rsidP="001F79F7">
            <w:pPr>
              <w:ind w:left="28" w:right="28"/>
              <w:jc w:val="both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  <w:lang w:eastAsia="uk-UA"/>
              </w:rPr>
              <w:t>Прийняття рішення за наслідками розгляду звіту виконавчого органу, звіту ревізора.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713F0E" w14:textId="77777777" w:rsidR="0068199B" w:rsidRPr="001F79F7" w:rsidRDefault="0068199B" w:rsidP="001F79F7">
            <w:pPr>
              <w:ind w:left="28" w:right="28"/>
              <w:jc w:val="both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  <w:lang w:eastAsia="uk-UA"/>
              </w:rPr>
              <w:t>2.1 Затвердити звіт генерального директора про результати фінансово-господарської діяльності Товариства за 2023 рік.</w:t>
            </w:r>
          </w:p>
          <w:p w14:paraId="670E2FD3" w14:textId="348CB123" w:rsidR="0068199B" w:rsidRPr="001F79F7" w:rsidRDefault="0068199B" w:rsidP="001F79F7">
            <w:pPr>
              <w:ind w:left="28" w:right="28"/>
              <w:jc w:val="both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  <w:lang w:eastAsia="uk-UA"/>
              </w:rPr>
              <w:t>2.2 Затвердити звіт ревізора за 2023 рік та висновок щодо річної фінансової звітності товариства за 2023 рік.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4DA8DD" w14:textId="54CBC272" w:rsidR="0068199B" w:rsidRPr="001F79F7" w:rsidRDefault="0068199B" w:rsidP="001F79F7">
            <w:pPr>
              <w:tabs>
                <w:tab w:val="left" w:pos="175"/>
              </w:tabs>
              <w:snapToGrid w:val="0"/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873DF2" w14:textId="77777777" w:rsidR="0068199B" w:rsidRPr="001F79F7" w:rsidRDefault="0068199B" w:rsidP="001F79F7">
            <w:pPr>
              <w:pStyle w:val="ListParagraph"/>
              <w:tabs>
                <w:tab w:val="left" w:pos="175"/>
              </w:tabs>
              <w:snapToGrid w:val="0"/>
              <w:ind w:left="28" w:right="28"/>
              <w:rPr>
                <w:sz w:val="16"/>
                <w:szCs w:val="16"/>
              </w:rPr>
            </w:pPr>
          </w:p>
        </w:tc>
      </w:tr>
      <w:tr w:rsidR="0068199B" w:rsidRPr="001F79F7" w14:paraId="549479D2" w14:textId="77777777" w:rsidTr="0029590D">
        <w:trPr>
          <w:trHeight w:val="362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CCAB36" w14:textId="77777777" w:rsidR="0068199B" w:rsidRPr="001F79F7" w:rsidRDefault="0068199B" w:rsidP="001F79F7">
            <w:pPr>
              <w:ind w:left="28" w:right="28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FD113FA" w14:textId="458EA5D8" w:rsidR="0068199B" w:rsidRPr="001F79F7" w:rsidRDefault="0068199B" w:rsidP="001F79F7">
            <w:pPr>
              <w:ind w:left="28" w:right="28"/>
              <w:jc w:val="both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  <w:lang w:eastAsia="uk-UA"/>
              </w:rPr>
              <w:t>Затвердження річного звіту Товариства за 2023 рік, та затвердження порядку розподілу прибутку Товариства  за 2023 рік.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B8F08E" w14:textId="77777777" w:rsidR="0068199B" w:rsidRPr="001F79F7" w:rsidRDefault="0068199B" w:rsidP="001F79F7">
            <w:pPr>
              <w:ind w:left="28" w:right="28"/>
              <w:jc w:val="both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  <w:lang w:eastAsia="uk-UA"/>
              </w:rPr>
              <w:t>3.1 Затвердити річний звіт Товариства за 2023 рік.</w:t>
            </w:r>
          </w:p>
          <w:p w14:paraId="6E8FC573" w14:textId="13F1339B" w:rsidR="0068199B" w:rsidRPr="001F79F7" w:rsidRDefault="0068199B" w:rsidP="001F79F7">
            <w:pPr>
              <w:ind w:left="28" w:right="28"/>
              <w:jc w:val="both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  <w:lang w:eastAsia="uk-UA"/>
              </w:rPr>
              <w:t>3.2 Прибуток, отриманий за результатами діяльності Товариства в 2023 році у розмірі 9,8 тис. грн. використати для покриття збитків Товариства минулих років.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C96B621" w14:textId="27EF7804" w:rsidR="0068199B" w:rsidRPr="001F79F7" w:rsidRDefault="0068199B" w:rsidP="001F79F7">
            <w:pPr>
              <w:tabs>
                <w:tab w:val="left" w:pos="0"/>
              </w:tabs>
              <w:snapToGrid w:val="0"/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AC5062" w14:textId="77777777" w:rsidR="0068199B" w:rsidRPr="001F79F7" w:rsidRDefault="0068199B" w:rsidP="001F79F7">
            <w:pPr>
              <w:pStyle w:val="ListParagraph"/>
              <w:tabs>
                <w:tab w:val="left" w:pos="0"/>
              </w:tabs>
              <w:snapToGrid w:val="0"/>
              <w:ind w:left="28" w:right="28"/>
              <w:rPr>
                <w:sz w:val="16"/>
                <w:szCs w:val="16"/>
              </w:rPr>
            </w:pPr>
          </w:p>
        </w:tc>
      </w:tr>
      <w:tr w:rsidR="0068199B" w:rsidRPr="001F79F7" w14:paraId="3B239534" w14:textId="77777777" w:rsidTr="0029590D">
        <w:trPr>
          <w:trHeight w:val="551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124C4C" w14:textId="77777777" w:rsidR="0068199B" w:rsidRPr="001F79F7" w:rsidRDefault="0068199B" w:rsidP="001F79F7">
            <w:pPr>
              <w:ind w:left="28" w:right="28"/>
              <w:rPr>
                <w:sz w:val="16"/>
                <w:szCs w:val="16"/>
              </w:rPr>
            </w:pPr>
            <w:r w:rsidRPr="001F79F7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BD425C" w14:textId="77777777" w:rsidR="00A770BB" w:rsidRDefault="0068199B" w:rsidP="00A770BB">
            <w:pPr>
              <w:pStyle w:val="ae"/>
              <w:spacing w:before="0" w:line="240" w:lineRule="auto"/>
              <w:ind w:left="312" w:right="2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79F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Прийняття рішення щодо погашення </w:t>
            </w:r>
          </w:p>
          <w:p w14:paraId="33ACFDF5" w14:textId="77777777" w:rsidR="00A770BB" w:rsidRDefault="0068199B" w:rsidP="00A770BB">
            <w:pPr>
              <w:pStyle w:val="ae"/>
              <w:spacing w:before="0" w:line="240" w:lineRule="auto"/>
              <w:ind w:left="312" w:right="2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79F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заборгованості Товариства по </w:t>
            </w:r>
          </w:p>
          <w:p w14:paraId="618F4324" w14:textId="77777777" w:rsidR="00A770BB" w:rsidRDefault="0068199B" w:rsidP="00A770BB">
            <w:pPr>
              <w:pStyle w:val="ae"/>
              <w:spacing w:before="0" w:line="240" w:lineRule="auto"/>
              <w:ind w:left="312" w:right="2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F79F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договорам надання поворотної </w:t>
            </w:r>
          </w:p>
          <w:p w14:paraId="6151C54D" w14:textId="0E976877" w:rsidR="0068199B" w:rsidRPr="001F79F7" w:rsidRDefault="0068199B" w:rsidP="00A770BB">
            <w:pPr>
              <w:pStyle w:val="ae"/>
              <w:spacing w:before="0" w:line="240" w:lineRule="auto"/>
              <w:ind w:left="312" w:right="28"/>
              <w:rPr>
                <w:rFonts w:ascii="Times New Roman" w:hAnsi="Times New Roman"/>
                <w:sz w:val="16"/>
                <w:szCs w:val="16"/>
              </w:rPr>
            </w:pPr>
            <w:r w:rsidRPr="001F79F7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фінансової допомоги.</w:t>
            </w:r>
          </w:p>
          <w:p w14:paraId="5C05E5BC" w14:textId="521833B4" w:rsidR="0068199B" w:rsidRPr="001F79F7" w:rsidRDefault="0068199B" w:rsidP="001F79F7">
            <w:pPr>
              <w:ind w:left="28" w:right="28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4B4D3D" w14:textId="4F6E464C" w:rsidR="0068199B" w:rsidRPr="001F79F7" w:rsidRDefault="00790006" w:rsidP="001F79F7">
            <w:pPr>
              <w:ind w:left="28" w:right="2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uk-UA"/>
              </w:rPr>
              <w:t xml:space="preserve">4. </w:t>
            </w:r>
            <w:r w:rsidR="0068199B" w:rsidRPr="001F79F7">
              <w:rPr>
                <w:sz w:val="16"/>
                <w:szCs w:val="16"/>
                <w:lang w:eastAsia="uk-UA"/>
              </w:rPr>
              <w:t>Повернути грошові кошти, надані Товариству у вигляді поворотної фінансової допомоги відповідно до договорів надання поворотної фінансової допомоги, позикодавцям в повному об’ємі шляхом перерахування грошових коштів з балансу Товариства на рахунки вказаних в договорах позикодавців в установі банку, а в разі відсутності коштів — реалізувати майно Товариства з метою погашення цієї заборгованості.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DF053D" w14:textId="28DBFACF" w:rsidR="0068199B" w:rsidRPr="001F79F7" w:rsidRDefault="0068199B" w:rsidP="001F79F7">
            <w:pPr>
              <w:snapToGrid w:val="0"/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82131A" w14:textId="77777777" w:rsidR="0068199B" w:rsidRPr="001F79F7" w:rsidRDefault="0068199B" w:rsidP="001F79F7">
            <w:pPr>
              <w:snapToGrid w:val="0"/>
              <w:ind w:left="28" w:right="28"/>
              <w:rPr>
                <w:sz w:val="16"/>
                <w:szCs w:val="16"/>
              </w:rPr>
            </w:pPr>
          </w:p>
        </w:tc>
      </w:tr>
      <w:tr w:rsidR="0068199B" w:rsidRPr="001F79F7" w14:paraId="6662C1ED" w14:textId="77777777" w:rsidTr="0029590D"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1FADAD" w14:textId="77777777" w:rsidR="0068199B" w:rsidRPr="001F79F7" w:rsidRDefault="0068199B" w:rsidP="001F79F7">
            <w:pPr>
              <w:ind w:left="28" w:right="28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56B21E" w14:textId="1F924A1D" w:rsidR="0068199B" w:rsidRPr="001F79F7" w:rsidRDefault="0068199B" w:rsidP="001F79F7">
            <w:pPr>
              <w:ind w:left="28" w:right="28"/>
              <w:jc w:val="both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  <w:lang w:eastAsia="uk-UA"/>
              </w:rPr>
              <w:t>Прийняття рішення про попереднє надання згоди на вчинення Товариством значних правочинів.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D09BF3" w14:textId="77777777" w:rsidR="0068199B" w:rsidRPr="001F79F7" w:rsidRDefault="0068199B" w:rsidP="001F79F7">
            <w:pPr>
              <w:ind w:left="28" w:right="28"/>
              <w:jc w:val="both"/>
              <w:rPr>
                <w:sz w:val="16"/>
                <w:szCs w:val="16"/>
              </w:rPr>
            </w:pPr>
            <w:r w:rsidRPr="001F79F7">
              <w:rPr>
                <w:sz w:val="16"/>
                <w:szCs w:val="16"/>
                <w:lang w:eastAsia="uk-UA"/>
              </w:rPr>
              <w:t xml:space="preserve">5.1 Надати згоду (попередньо) на вчинення значних правочинів,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необхiднiсть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 укладання яких може виникнути в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ходi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 господарської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дiяльностi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 Товариства протягом не більш як одного року з дати прийняття цього рішення,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пов'язанi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 з отриманням та поверненням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кредитiв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, поворотної фінансової допомоги, порукою, страхуванням,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перевідступленням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 боргу,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вiдчуженням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 (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реалiзацiя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, продаж,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мiна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, передача в заставу, передача в статутний капітал інших юридичних осіб), орендою майна Товариства (рухомого, нерухомого, майнових прав,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iнше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),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вартiсть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 яких перевищує 10 відсотків вартості активів Товариства за даними річної фінансової звітності товариства за 2023 рік: 1258,34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тис.грн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., граничною сукупною вартістю 100 млн. грн., в тому числі, але не виключно: виступити позичальником та/або поручителем та/або майновим поручителем/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заставодавцем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 перед банками за зобов'язаннями Товариства за генеральними угодами та кредитними договорами.</w:t>
            </w:r>
          </w:p>
          <w:p w14:paraId="5F04EBEB" w14:textId="3FFB8BB3" w:rsidR="0068199B" w:rsidRPr="001F79F7" w:rsidRDefault="0068199B" w:rsidP="005B5248">
            <w:pPr>
              <w:pStyle w:val="ListParagraph"/>
              <w:widowControl w:val="0"/>
              <w:tabs>
                <w:tab w:val="left" w:pos="175"/>
                <w:tab w:val="left" w:pos="317"/>
              </w:tabs>
              <w:ind w:left="28" w:right="28"/>
              <w:jc w:val="both"/>
              <w:rPr>
                <w:rFonts w:cs="Calibri"/>
                <w:bCs/>
                <w:iCs/>
                <w:sz w:val="16"/>
                <w:szCs w:val="16"/>
              </w:rPr>
            </w:pPr>
            <w:r w:rsidRPr="001F79F7">
              <w:rPr>
                <w:sz w:val="16"/>
                <w:szCs w:val="16"/>
                <w:lang w:eastAsia="uk-UA"/>
              </w:rPr>
              <w:t xml:space="preserve">5.2 Надати генеральному директору Товариства Головко В. А. згоду та повноваження на ведення переговорів, остаточне визначення умов, обрання на власний розсуд покупця (покупців), оцінювача майна Товариства, на укладення і підписання договору грошової оцінки активів (матеріальних цінностей) Товариства з оцінювачем майна, на укладання та підписання договорів, угод, додаткових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договорiв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/ угод до них та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iнших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необхiдних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F79F7">
              <w:rPr>
                <w:sz w:val="16"/>
                <w:szCs w:val="16"/>
                <w:lang w:eastAsia="uk-UA"/>
              </w:rPr>
              <w:t>документiв</w:t>
            </w:r>
            <w:proofErr w:type="spellEnd"/>
            <w:r w:rsidRPr="001F79F7">
              <w:rPr>
                <w:sz w:val="16"/>
                <w:szCs w:val="16"/>
                <w:lang w:eastAsia="uk-UA"/>
              </w:rPr>
              <w:t>, пов’язаних з виконанням п.5.1, в тому числі, уповноважити генерального директора на вчинення  дій, необхідних для юридичного (нотаріального) оформлення договорів від імені Товариства, згода на укладення яких надана загальними зборами акціонерів Товариства  у п.5.1.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DB7228" w14:textId="1A31AA5F" w:rsidR="0068199B" w:rsidRPr="001F79F7" w:rsidRDefault="0068199B" w:rsidP="001F79F7">
            <w:pPr>
              <w:tabs>
                <w:tab w:val="left" w:pos="175"/>
                <w:tab w:val="left" w:pos="317"/>
              </w:tabs>
              <w:snapToGrid w:val="0"/>
              <w:ind w:left="2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68466E" w14:textId="77777777" w:rsidR="0068199B" w:rsidRPr="001F79F7" w:rsidRDefault="0068199B" w:rsidP="001F79F7">
            <w:pPr>
              <w:pStyle w:val="ListParagraph"/>
              <w:tabs>
                <w:tab w:val="left" w:pos="175"/>
                <w:tab w:val="left" w:pos="317"/>
              </w:tabs>
              <w:snapToGrid w:val="0"/>
              <w:ind w:left="28" w:right="28"/>
              <w:jc w:val="both"/>
              <w:rPr>
                <w:sz w:val="16"/>
                <w:szCs w:val="16"/>
              </w:rPr>
            </w:pPr>
          </w:p>
        </w:tc>
      </w:tr>
    </w:tbl>
    <w:p w14:paraId="75B68460" w14:textId="77777777" w:rsidR="00AA2E2C" w:rsidRDefault="00AA2E2C">
      <w:pPr>
        <w:jc w:val="both"/>
      </w:pPr>
    </w:p>
    <w:p w14:paraId="66289BE9" w14:textId="147D09E7" w:rsidR="00AA2E2C" w:rsidRDefault="00AA2E2C">
      <w:pPr>
        <w:jc w:val="both"/>
      </w:pPr>
      <w:r>
        <w:rPr>
          <w:b/>
          <w:sz w:val="16"/>
          <w:szCs w:val="16"/>
          <w:vertAlign w:val="superscript"/>
        </w:rPr>
        <w:t>1</w:t>
      </w:r>
      <w:r>
        <w:rPr>
          <w:b/>
          <w:sz w:val="16"/>
          <w:szCs w:val="16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000000">
      <w:headerReference w:type="default" r:id="rId6"/>
      <w:footerReference w:type="default" r:id="rId7"/>
      <w:pgSz w:w="11906" w:h="16838"/>
      <w:pgMar w:top="2122" w:right="566" w:bottom="2465" w:left="1417" w:header="421" w:footer="708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A3FEC" w14:textId="77777777" w:rsidR="00AA2E2C" w:rsidRDefault="00AA2E2C">
      <w:r>
        <w:separator/>
      </w:r>
    </w:p>
  </w:endnote>
  <w:endnote w:type="continuationSeparator" w:id="0">
    <w:p w14:paraId="0E95DF51" w14:textId="77777777" w:rsidR="00AA2E2C" w:rsidRDefault="00AA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A847EA" w14:textId="77777777" w:rsidR="00AA2E2C" w:rsidRDefault="00AA2E2C">
    <w:pPr>
      <w:pStyle w:val="ad"/>
      <w:rPr>
        <w:sz w:val="16"/>
        <w:szCs w:val="16"/>
      </w:rPr>
    </w:pPr>
  </w:p>
  <w:p w14:paraId="2ADBB1A7" w14:textId="77777777" w:rsidR="00AA2E2C" w:rsidRDefault="00AA2E2C">
    <w:pPr>
      <w:pStyle w:val="ad"/>
      <w:rPr>
        <w:sz w:val="16"/>
        <w:szCs w:val="16"/>
      </w:rPr>
    </w:pPr>
  </w:p>
  <w:p w14:paraId="493B1EBF" w14:textId="77777777" w:rsidR="00AA2E2C" w:rsidRDefault="00AA2E2C">
    <w:pPr>
      <w:pStyle w:val="ad"/>
      <w:rPr>
        <w:sz w:val="12"/>
        <w:szCs w:val="12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001"/>
      <w:gridCol w:w="1976"/>
      <w:gridCol w:w="1125"/>
      <w:gridCol w:w="285"/>
      <w:gridCol w:w="2224"/>
      <w:gridCol w:w="2254"/>
    </w:tblGrid>
    <w:tr w:rsidR="00000000" w14:paraId="583B11C9" w14:textId="77777777">
      <w:trPr>
        <w:trHeight w:val="1547"/>
      </w:trPr>
      <w:tc>
        <w:tcPr>
          <w:tcW w:w="9865" w:type="dxa"/>
          <w:gridSpan w:val="6"/>
          <w:shd w:val="clear" w:color="auto" w:fill="auto"/>
        </w:tcPr>
        <w:p w14:paraId="7C175F5F" w14:textId="77777777" w:rsidR="00AA2E2C" w:rsidRDefault="00AA2E2C">
          <w:pPr>
            <w:widowControl w:val="0"/>
            <w:ind w:firstLine="743"/>
            <w:jc w:val="both"/>
          </w:pPr>
          <w:r>
            <w:rPr>
              <w:b/>
              <w:bCs/>
              <w:i/>
              <w:color w:val="000000"/>
              <w:sz w:val="18"/>
              <w:szCs w:val="18"/>
            </w:rPr>
            <w:t xml:space="preserve">Увага! </w:t>
          </w:r>
        </w:p>
        <w:p w14:paraId="27B2C57C" w14:textId="77777777" w:rsidR="00AA2E2C" w:rsidRDefault="00AA2E2C">
          <w:pPr>
            <w:widowControl w:val="0"/>
            <w:ind w:firstLine="743"/>
            <w:jc w:val="both"/>
          </w:pPr>
          <w:r>
            <w:rPr>
              <w:bCs/>
              <w:i/>
              <w:color w:val="000000"/>
              <w:sz w:val="18"/>
              <w:szCs w:val="18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104EF733" w14:textId="77777777" w:rsidR="00AA2E2C" w:rsidRDefault="00AA2E2C">
          <w:pPr>
            <w:widowControl w:val="0"/>
            <w:ind w:firstLine="743"/>
            <w:jc w:val="both"/>
          </w:pPr>
          <w:r>
            <w:rPr>
              <w:bCs/>
              <w:i/>
              <w:color w:val="000000"/>
              <w:sz w:val="18"/>
              <w:szCs w:val="18"/>
            </w:rPr>
            <w:t>За відсутності таких реквізитів і підпису (-</w:t>
          </w:r>
          <w:proofErr w:type="spellStart"/>
          <w:r>
            <w:rPr>
              <w:bCs/>
              <w:i/>
              <w:color w:val="000000"/>
              <w:sz w:val="18"/>
              <w:szCs w:val="18"/>
            </w:rPr>
            <w:t>ів</w:t>
          </w:r>
          <w:proofErr w:type="spellEnd"/>
          <w:r>
            <w:rPr>
              <w:bCs/>
              <w:i/>
              <w:color w:val="000000"/>
              <w:sz w:val="18"/>
              <w:szCs w:val="18"/>
            </w:rPr>
            <w:t>) бюлетень вважається недійсним і не враховується під час підрахунку голосів.</w:t>
          </w:r>
        </w:p>
        <w:p w14:paraId="406E0824" w14:textId="77777777" w:rsidR="00AA2E2C" w:rsidRDefault="00AA2E2C">
          <w:pPr>
            <w:widowControl w:val="0"/>
            <w:ind w:firstLine="743"/>
            <w:jc w:val="both"/>
          </w:pPr>
          <w:r>
            <w:rPr>
              <w:bCs/>
              <w:i/>
              <w:color w:val="000000"/>
              <w:sz w:val="18"/>
              <w:szCs w:val="18"/>
            </w:rPr>
            <w:t xml:space="preserve">Бюлетень може бути заповнений </w:t>
          </w:r>
          <w:proofErr w:type="spellStart"/>
          <w:r>
            <w:rPr>
              <w:bCs/>
              <w:i/>
              <w:color w:val="000000"/>
              <w:sz w:val="18"/>
              <w:szCs w:val="18"/>
            </w:rPr>
            <w:t>машинодруком</w:t>
          </w:r>
          <w:proofErr w:type="spellEnd"/>
          <w:r>
            <w:rPr>
              <w:bCs/>
              <w:i/>
              <w:color w:val="000000"/>
              <w:sz w:val="18"/>
              <w:szCs w:val="18"/>
            </w:rPr>
            <w:t xml:space="preserve">. </w:t>
          </w:r>
        </w:p>
      </w:tc>
    </w:tr>
    <w:tr w:rsidR="00000000" w14:paraId="6EC5F537" w14:textId="77777777">
      <w:trPr>
        <w:trHeight w:val="47"/>
      </w:trPr>
      <w:tc>
        <w:tcPr>
          <w:tcW w:w="9865" w:type="dxa"/>
          <w:gridSpan w:val="6"/>
          <w:shd w:val="clear" w:color="auto" w:fill="auto"/>
        </w:tcPr>
        <w:p w14:paraId="6D263B83" w14:textId="77777777" w:rsidR="00AA2E2C" w:rsidRDefault="00AA2E2C">
          <w:pPr>
            <w:pStyle w:val="ad"/>
            <w:tabs>
              <w:tab w:val="left" w:pos="6730"/>
            </w:tabs>
            <w:snapToGrid w:val="0"/>
            <w:rPr>
              <w:sz w:val="18"/>
              <w:szCs w:val="18"/>
            </w:rPr>
          </w:pPr>
        </w:p>
      </w:tc>
    </w:tr>
    <w:tr w:rsidR="00000000" w14:paraId="13419EDB" w14:textId="77777777">
      <w:tc>
        <w:tcPr>
          <w:tcW w:w="2001" w:type="dxa"/>
          <w:vMerge w:val="restart"/>
          <w:shd w:val="clear" w:color="auto" w:fill="auto"/>
          <w:vAlign w:val="center"/>
        </w:tcPr>
        <w:p w14:paraId="3B5D3D16" w14:textId="77777777" w:rsidR="00AA2E2C" w:rsidRDefault="00AA2E2C">
          <w:pPr>
            <w:pStyle w:val="ad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ст.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02FD4372" w14:textId="77777777" w:rsidR="00AA2E2C" w:rsidRDefault="00AA2E2C">
          <w:pPr>
            <w:pStyle w:val="ad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491126B5" w14:textId="77777777" w:rsidR="00AA2E2C" w:rsidRDefault="00AA2E2C">
          <w:pPr>
            <w:pStyle w:val="ad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5" w:type="dxa"/>
          <w:shd w:val="clear" w:color="auto" w:fill="auto"/>
        </w:tcPr>
        <w:p w14:paraId="3206D3BC" w14:textId="77777777" w:rsidR="00AA2E2C" w:rsidRDefault="00AA2E2C">
          <w:pPr>
            <w:pStyle w:val="ad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4" w:type="dxa"/>
          <w:tcBorders>
            <w:bottom w:val="single" w:sz="4" w:space="0" w:color="000000"/>
          </w:tcBorders>
          <w:shd w:val="clear" w:color="auto" w:fill="auto"/>
        </w:tcPr>
        <w:p w14:paraId="4AF5A5F1" w14:textId="77777777" w:rsidR="00AA2E2C" w:rsidRDefault="00AA2E2C">
          <w:pPr>
            <w:pStyle w:val="ad"/>
            <w:tabs>
              <w:tab w:val="center" w:pos="1004"/>
            </w:tabs>
          </w:pP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ab/>
          </w:r>
        </w:p>
      </w:tc>
      <w:tc>
        <w:tcPr>
          <w:tcW w:w="2254" w:type="dxa"/>
          <w:tcBorders>
            <w:bottom w:val="single" w:sz="4" w:space="0" w:color="000000"/>
          </w:tcBorders>
          <w:shd w:val="clear" w:color="auto" w:fill="auto"/>
        </w:tcPr>
        <w:p w14:paraId="4CEBF5CD" w14:textId="77777777" w:rsidR="00AA2E2C" w:rsidRDefault="00AA2E2C">
          <w:pPr>
            <w:pStyle w:val="ad"/>
            <w:jc w:val="right"/>
          </w:pPr>
          <w:r>
            <w:rPr>
              <w:sz w:val="18"/>
              <w:szCs w:val="18"/>
            </w:rPr>
            <w:t>/</w:t>
          </w:r>
        </w:p>
      </w:tc>
    </w:tr>
    <w:tr w:rsidR="00000000" w14:paraId="4A34F920" w14:textId="77777777">
      <w:tc>
        <w:tcPr>
          <w:tcW w:w="2001" w:type="dxa"/>
          <w:vMerge/>
          <w:tcBorders>
            <w:top w:val="single" w:sz="4" w:space="0" w:color="000000"/>
          </w:tcBorders>
          <w:shd w:val="clear" w:color="auto" w:fill="auto"/>
        </w:tcPr>
        <w:p w14:paraId="5777E1D1" w14:textId="77777777" w:rsidR="00AA2E2C" w:rsidRDefault="00AA2E2C">
          <w:pPr>
            <w:pStyle w:val="ad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2D1EF9DA" w14:textId="7258BFD7" w:rsidR="00AA2E2C" w:rsidRDefault="00AA2E2C" w:rsidP="00A53115">
          <w:pPr>
            <w:pStyle w:val="ad"/>
            <w:jc w:val="center"/>
          </w:pPr>
          <w:r>
            <w:rPr>
              <w:b/>
              <w:bCs/>
              <w:i/>
              <w:color w:val="000000"/>
              <w:sz w:val="18"/>
              <w:szCs w:val="18"/>
            </w:rPr>
            <w:t>Підпис акціонера</w:t>
          </w:r>
        </w:p>
        <w:p w14:paraId="1863DB64" w14:textId="77777777" w:rsidR="00AA2E2C" w:rsidRDefault="00AA2E2C" w:rsidP="00A53115">
          <w:pPr>
            <w:pStyle w:val="ad"/>
            <w:jc w:val="center"/>
          </w:pPr>
          <w:r>
            <w:rPr>
              <w:b/>
              <w:bCs/>
              <w:i/>
              <w:color w:val="000000"/>
              <w:sz w:val="18"/>
              <w:szCs w:val="18"/>
            </w:rPr>
            <w:t>(представника акціонера)</w:t>
          </w:r>
        </w:p>
      </w:tc>
      <w:tc>
        <w:tcPr>
          <w:tcW w:w="285" w:type="dxa"/>
          <w:shd w:val="clear" w:color="auto" w:fill="auto"/>
        </w:tcPr>
        <w:p w14:paraId="49E451D6" w14:textId="77777777" w:rsidR="00AA2E2C" w:rsidRDefault="00AA2E2C">
          <w:pPr>
            <w:pStyle w:val="ad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478" w:type="dxa"/>
          <w:gridSpan w:val="2"/>
          <w:tcBorders>
            <w:top w:val="single" w:sz="4" w:space="0" w:color="000000"/>
          </w:tcBorders>
          <w:shd w:val="clear" w:color="auto" w:fill="auto"/>
        </w:tcPr>
        <w:p w14:paraId="572455A8" w14:textId="51C48880" w:rsidR="00AA2E2C" w:rsidRDefault="00AA2E2C" w:rsidP="00A53115">
          <w:pPr>
            <w:pStyle w:val="ad"/>
            <w:jc w:val="center"/>
          </w:pPr>
          <w:r>
            <w:rPr>
              <w:b/>
              <w:bCs/>
              <w:i/>
              <w:color w:val="000000"/>
              <w:sz w:val="18"/>
              <w:szCs w:val="18"/>
            </w:rPr>
            <w:t>Прізвище, ім’я та по батькові</w:t>
          </w:r>
          <w:r>
            <w:rPr>
              <w:b/>
              <w:i/>
              <w:sz w:val="18"/>
              <w:szCs w:val="18"/>
            </w:rPr>
            <w:t xml:space="preserve"> акціонера</w:t>
          </w:r>
        </w:p>
        <w:p w14:paraId="27F702D9" w14:textId="77777777" w:rsidR="00AA2E2C" w:rsidRDefault="00AA2E2C" w:rsidP="00A53115">
          <w:pPr>
            <w:pStyle w:val="ad"/>
            <w:jc w:val="center"/>
          </w:pPr>
          <w:r>
            <w:rPr>
              <w:b/>
              <w:i/>
              <w:sz w:val="18"/>
              <w:szCs w:val="18"/>
            </w:rPr>
            <w:t>(представника акціонера)</w:t>
          </w:r>
        </w:p>
      </w:tc>
    </w:tr>
  </w:tbl>
  <w:p w14:paraId="6D46269A" w14:textId="77777777" w:rsidR="00AA2E2C" w:rsidRDefault="00AA2E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F5D4B" w14:textId="77777777" w:rsidR="00AA2E2C" w:rsidRDefault="00AA2E2C">
      <w:r>
        <w:separator/>
      </w:r>
    </w:p>
  </w:footnote>
  <w:footnote w:type="continuationSeparator" w:id="0">
    <w:p w14:paraId="323046C6" w14:textId="77777777" w:rsidR="00AA2E2C" w:rsidRDefault="00AA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A74A5" w14:textId="77777777" w:rsidR="00AA2E2C" w:rsidRDefault="00AA2E2C">
    <w:pPr>
      <w:pStyle w:val="ac"/>
      <w:rPr>
        <w:lang w:val="ru-RU"/>
      </w:rPr>
    </w:pPr>
  </w:p>
  <w:p w14:paraId="5AD993BD" w14:textId="77777777" w:rsidR="00AA2E2C" w:rsidRDefault="00AA2E2C">
    <w:pPr>
      <w:rPr>
        <w:lang w:val="ru-RU"/>
      </w:rPr>
    </w:pPr>
  </w:p>
  <w:tbl>
    <w:tblPr>
      <w:tblW w:w="0" w:type="auto"/>
      <w:tblInd w:w="-601" w:type="dxa"/>
      <w:tblLayout w:type="fixed"/>
      <w:tblLook w:val="0000" w:firstRow="0" w:lastRow="0" w:firstColumn="0" w:lastColumn="0" w:noHBand="0" w:noVBand="0"/>
    </w:tblPr>
    <w:tblGrid>
      <w:gridCol w:w="5140"/>
      <w:gridCol w:w="5140"/>
    </w:tblGrid>
    <w:tr w:rsidR="00000000" w14:paraId="610F10CC" w14:textId="77777777">
      <w:tc>
        <w:tcPr>
          <w:tcW w:w="5140" w:type="dxa"/>
          <w:shd w:val="clear" w:color="auto" w:fill="auto"/>
        </w:tcPr>
        <w:p w14:paraId="6805A388" w14:textId="77777777" w:rsidR="00AA2E2C" w:rsidRDefault="00AA2E2C">
          <w:pPr>
            <w:snapToGrid w:val="0"/>
            <w:rPr>
              <w:sz w:val="12"/>
              <w:szCs w:val="12"/>
            </w:rPr>
          </w:pPr>
        </w:p>
      </w:tc>
      <w:tc>
        <w:tcPr>
          <w:tcW w:w="5140" w:type="dxa"/>
          <w:shd w:val="clear" w:color="auto" w:fill="auto"/>
        </w:tcPr>
        <w:p w14:paraId="3B5F8B7F" w14:textId="77777777" w:rsidR="00AA2E2C" w:rsidRDefault="00AA2E2C">
          <w:pPr>
            <w:jc w:val="right"/>
          </w:pPr>
          <w:r>
            <w:rPr>
              <w:rFonts w:cs="Calibri"/>
              <w:b/>
              <w:sz w:val="16"/>
              <w:szCs w:val="16"/>
            </w:rPr>
            <w:t xml:space="preserve">Додаток </w:t>
          </w:r>
          <w:r>
            <w:rPr>
              <w:rFonts w:cs="Calibri"/>
              <w:b/>
              <w:sz w:val="16"/>
              <w:szCs w:val="16"/>
            </w:rPr>
            <w:t>№2</w:t>
          </w:r>
        </w:p>
        <w:p w14:paraId="5B7760F9" w14:textId="77777777" w:rsidR="00AA2E2C" w:rsidRDefault="00AA2E2C">
          <w:pPr>
            <w:jc w:val="right"/>
          </w:pPr>
          <w:r>
            <w:rPr>
              <w:rFonts w:cs="Calibri"/>
              <w:b/>
              <w:sz w:val="16"/>
              <w:szCs w:val="16"/>
            </w:rPr>
            <w:t>до наказу генерального директора</w:t>
          </w:r>
        </w:p>
        <w:p w14:paraId="0DD0287F" w14:textId="16811C47" w:rsidR="00AA2E2C" w:rsidRDefault="00AA2E2C">
          <w:pPr>
            <w:jc w:val="right"/>
          </w:pPr>
          <w:r>
            <w:rPr>
              <w:rFonts w:cs="Calibri"/>
              <w:b/>
              <w:sz w:val="16"/>
              <w:szCs w:val="16"/>
            </w:rPr>
            <w:t>ПРАТ”ПОЛІМПЕКС” від 1</w:t>
          </w:r>
          <w:r w:rsidR="0068199B" w:rsidRPr="0068199B">
            <w:rPr>
              <w:rFonts w:cs="Calibri"/>
              <w:b/>
              <w:sz w:val="16"/>
              <w:szCs w:val="16"/>
              <w:lang w:val="ru-RU"/>
            </w:rPr>
            <w:t>2</w:t>
          </w:r>
          <w:r>
            <w:rPr>
              <w:rFonts w:cs="Calibri"/>
              <w:b/>
              <w:sz w:val="16"/>
              <w:szCs w:val="16"/>
            </w:rPr>
            <w:t>.0</w:t>
          </w:r>
          <w:r w:rsidR="0068199B" w:rsidRPr="0068199B">
            <w:rPr>
              <w:rFonts w:cs="Calibri"/>
              <w:b/>
              <w:sz w:val="16"/>
              <w:szCs w:val="16"/>
              <w:lang w:val="ru-RU"/>
            </w:rPr>
            <w:t>3</w:t>
          </w:r>
          <w:r>
            <w:rPr>
              <w:rFonts w:cs="Calibri"/>
              <w:b/>
              <w:sz w:val="16"/>
              <w:szCs w:val="16"/>
            </w:rPr>
            <w:t>.202</w:t>
          </w:r>
          <w:r w:rsidR="0068199B" w:rsidRPr="0068199B">
            <w:rPr>
              <w:rFonts w:cs="Calibri"/>
              <w:b/>
              <w:sz w:val="16"/>
              <w:szCs w:val="16"/>
              <w:lang w:val="ru-RU"/>
            </w:rPr>
            <w:t>4</w:t>
          </w:r>
          <w:r>
            <w:rPr>
              <w:rFonts w:cs="Calibri"/>
              <w:b/>
              <w:sz w:val="16"/>
              <w:szCs w:val="16"/>
            </w:rPr>
            <w:t xml:space="preserve"> №2</w:t>
          </w:r>
        </w:p>
        <w:p w14:paraId="05AE432B" w14:textId="77777777" w:rsidR="00AA2E2C" w:rsidRDefault="00AA2E2C">
          <w:pPr>
            <w:jc w:val="right"/>
            <w:rPr>
              <w:b/>
              <w:sz w:val="12"/>
              <w:szCs w:val="12"/>
            </w:rPr>
          </w:pPr>
        </w:p>
        <w:p w14:paraId="0953707D" w14:textId="77777777" w:rsidR="00AA2E2C" w:rsidRDefault="00AA2E2C">
          <w:pPr>
            <w:jc w:val="right"/>
            <w:rPr>
              <w:sz w:val="12"/>
              <w:szCs w:val="12"/>
            </w:rPr>
          </w:pPr>
        </w:p>
      </w:tc>
    </w:tr>
  </w:tbl>
  <w:p w14:paraId="1A045474" w14:textId="77777777" w:rsidR="00AA2E2C" w:rsidRDefault="00AA2E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9B"/>
    <w:rsid w:val="001F79F7"/>
    <w:rsid w:val="0029590D"/>
    <w:rsid w:val="00377101"/>
    <w:rsid w:val="005B5248"/>
    <w:rsid w:val="0068199B"/>
    <w:rsid w:val="00790006"/>
    <w:rsid w:val="00994847"/>
    <w:rsid w:val="00A238B4"/>
    <w:rsid w:val="00A53115"/>
    <w:rsid w:val="00A55AD3"/>
    <w:rsid w:val="00A61FD4"/>
    <w:rsid w:val="00A770BB"/>
    <w:rsid w:val="00AA2E2C"/>
    <w:rsid w:val="00C476E1"/>
    <w:rsid w:val="00C91D6E"/>
    <w:rsid w:val="00FA0F28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49E3C83"/>
  <w15:chartTrackingRefBased/>
  <w15:docId w15:val="{3787F042-38AA-4B95-89FF-F8E9617D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hint="default"/>
      <w:color w:val="000000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a6">
    <w:name w:val="Основной текст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b/>
      <w:lang w:val="uk-UA"/>
    </w:rPr>
  </w:style>
  <w:style w:type="character" w:customStyle="1" w:styleId="ListLabel15">
    <w:name w:val="ListLabel 15"/>
    <w:rPr>
      <w:rFonts w:cs="Times New Roman"/>
      <w:b/>
    </w:rPr>
  </w:style>
  <w:style w:type="character" w:customStyle="1" w:styleId="ListLabel16">
    <w:name w:val="ListLabel 16"/>
    <w:rPr>
      <w:b w:val="0"/>
    </w:rPr>
  </w:style>
  <w:style w:type="character" w:customStyle="1" w:styleId="a8">
    <w:name w:val="Основной текст с отступом Знак"/>
    <w:basedOn w:val="1"/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eastAsia="zh-CN"/>
    </w:rPr>
  </w:style>
  <w:style w:type="paragraph" w:customStyle="1" w:styleId="NormalWeb">
    <w:name w:val="Normal (Web)"/>
    <w:basedOn w:val="a"/>
    <w:pPr>
      <w:spacing w:before="280" w:after="280"/>
      <w:jc w:val="both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BodyTextIndent">
    <w:name w:val="Body Text Indent"/>
    <w:basedOn w:val="a9"/>
    <w:pPr>
      <w:widowControl w:val="0"/>
      <w:ind w:firstLine="210"/>
    </w:pPr>
    <w:rPr>
      <w:lang w:val="ru-RU"/>
    </w:rPr>
  </w:style>
  <w:style w:type="paragraph" w:styleId="ae">
    <w:name w:val="List Paragraph"/>
    <w:basedOn w:val="a"/>
    <w:uiPriority w:val="34"/>
    <w:qFormat/>
    <w:pPr>
      <w:suppressAutoHyphens w:val="0"/>
      <w:spacing w:before="10" w:line="278" w:lineRule="exact"/>
      <w:ind w:left="720" w:hanging="284"/>
      <w:contextualSpacing/>
      <w:jc w:val="both"/>
    </w:pPr>
    <w:rPr>
      <w:rFonts w:ascii="Calibri" w:eastAsia="Calibri" w:hAnsi="Calibri" w:cs="Calibri"/>
      <w:kern w:val="0"/>
      <w:sz w:val="22"/>
      <w:szCs w:val="22"/>
    </w:rPr>
  </w:style>
  <w:style w:type="paragraph" w:styleId="af">
    <w:name w:val="Body Text Indent"/>
    <w:basedOn w:val="a9"/>
    <w:pPr>
      <w:suppressAutoHyphens w:val="0"/>
      <w:spacing w:line="276" w:lineRule="auto"/>
      <w:ind w:firstLine="210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4">
    <w:name w:val="Основной текст с отступом1"/>
    <w:basedOn w:val="a9"/>
    <w:pPr>
      <w:spacing w:line="276" w:lineRule="auto"/>
      <w:ind w:firstLine="210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rvps12">
    <w:name w:val="rvps12"/>
    <w:basedOn w:val="a"/>
    <w:qFormat/>
    <w:rsid w:val="0068199B"/>
    <w:pPr>
      <w:suppressAutoHyphens w:val="0"/>
      <w:spacing w:beforeAutospacing="1" w:after="160" w:afterAutospacing="1"/>
    </w:pPr>
    <w:rPr>
      <w:kern w:val="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Полімпекс</dc:creator>
  <cp:keywords/>
  <cp:lastModifiedBy>Пользователь</cp:lastModifiedBy>
  <cp:revision>2</cp:revision>
  <cp:lastPrinted>2024-04-18T05:09:00Z</cp:lastPrinted>
  <dcterms:created xsi:type="dcterms:W3CDTF">2024-04-18T05:17:00Z</dcterms:created>
  <dcterms:modified xsi:type="dcterms:W3CDTF">2024-04-18T05:17:00Z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